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48" w:rsidRDefault="00675548" w:rsidP="00675548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МИНИСТЕРСТВО ОБРАЗОВАНИЯ СВЕРДЛОВСКОЙ ОБЛАСТИ</w:t>
      </w:r>
    </w:p>
    <w:p w:rsidR="00675548" w:rsidRDefault="00675548" w:rsidP="00675548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675548" w:rsidRDefault="00675548" w:rsidP="00675548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«ИНСТИТУТ РАЗВИТИЯ ОБРАЗОВАНИЯ»</w:t>
      </w:r>
    </w:p>
    <w:p w:rsidR="00675548" w:rsidRDefault="00675548" w:rsidP="00675548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(ГАОУ ДПО СО «ИРО»)</w:t>
      </w: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Утверждено</w:t>
      </w:r>
    </w:p>
    <w:p w:rsidR="00675548" w:rsidRDefault="00675548" w:rsidP="00675548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</w:p>
    <w:p w:rsidR="00675548" w:rsidRDefault="00675548" w:rsidP="00675548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</w:p>
    <w:p w:rsidR="00675548" w:rsidRDefault="00675548" w:rsidP="00675548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Свердловской области</w:t>
      </w:r>
    </w:p>
    <w:p w:rsidR="00675548" w:rsidRDefault="00675548" w:rsidP="00675548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протокол № 1 от 20.01.2026г.</w:t>
      </w: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РАБОЧАЯ ПРОГРАММА </w:t>
      </w:r>
    </w:p>
    <w:p w:rsidR="00675548" w:rsidRDefault="00675548" w:rsidP="00675548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КУРСА ВНЕУРОЧНОЙ ДЕЯТЕЛЬНОСТИ </w:t>
      </w:r>
    </w:p>
    <w:p w:rsidR="00675548" w:rsidRDefault="00675548" w:rsidP="00675548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«ИСТОРИКИ-ИССЛЕДОВАТЕЛИ: АРХИВНАЯ ЭСТАФЕТА ПАМЯТИ»</w:t>
      </w:r>
    </w:p>
    <w:p w:rsidR="00675548" w:rsidRDefault="00675548" w:rsidP="00675548">
      <w:pPr>
        <w:shd w:val="clear" w:color="auto" w:fill="FFFFFF"/>
        <w:spacing w:after="0"/>
        <w:jc w:val="center"/>
        <w:outlineLvl w:val="2"/>
      </w:pPr>
      <w:r>
        <w:rPr>
          <w:rFonts w:eastAsia="Times New Roman" w:cs="Segoe UI"/>
          <w:b/>
          <w:bCs/>
          <w:color w:val="0F1115"/>
          <w:lang w:eastAsia="ru-RU"/>
        </w:rPr>
        <w:t>(СРЕДНЕЕ ОБЩЕЕ ОБРАЗОВАНИЕ)</w:t>
      </w:r>
    </w:p>
    <w:p w:rsidR="00675548" w:rsidRDefault="00675548" w:rsidP="00675548">
      <w:pPr>
        <w:shd w:val="clear" w:color="auto" w:fill="FFFFFF"/>
        <w:spacing w:after="0"/>
        <w:jc w:val="center"/>
        <w:outlineLvl w:val="2"/>
      </w:pPr>
    </w:p>
    <w:p w:rsidR="00675548" w:rsidRDefault="00675548" w:rsidP="00675548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before="240" w:after="240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675548" w:rsidRDefault="00675548" w:rsidP="00675548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bCs/>
          <w:sz w:val="24"/>
          <w:szCs w:val="28"/>
          <w:lang w:eastAsia="ru-RU"/>
        </w:rPr>
        <w:t>Авторы-составители</w:t>
      </w:r>
      <w:r>
        <w:rPr>
          <w:rFonts w:eastAsia="Times New Roman" w:cs="Times New Roman"/>
          <w:sz w:val="24"/>
          <w:szCs w:val="28"/>
          <w:lang w:eastAsia="ru-RU"/>
        </w:rPr>
        <w:t xml:space="preserve">: </w:t>
      </w:r>
    </w:p>
    <w:p w:rsidR="00675548" w:rsidRDefault="00675548" w:rsidP="00675548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>
        <w:rPr>
          <w:rFonts w:eastAsia="Times New Roman" w:cs="Times New Roman"/>
          <w:sz w:val="24"/>
          <w:szCs w:val="28"/>
          <w:lang w:eastAsia="ru-RU"/>
        </w:rPr>
        <w:t>Жижина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 xml:space="preserve"> И.В., директор НТФ ИРО, </w:t>
      </w:r>
    </w:p>
    <w:p w:rsidR="00675548" w:rsidRDefault="00675548" w:rsidP="00675548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Ерохина Л.Ю., доцент кафедры </w:t>
      </w:r>
    </w:p>
    <w:p w:rsidR="00675548" w:rsidRDefault="00675548" w:rsidP="00675548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педагогических и управленческих </w:t>
      </w:r>
    </w:p>
    <w:p w:rsidR="00675548" w:rsidRDefault="00675548" w:rsidP="00675548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технологий НТФ ИРО, </w:t>
      </w:r>
    </w:p>
    <w:p w:rsidR="00675548" w:rsidRDefault="00675548" w:rsidP="00675548">
      <w:pPr>
        <w:shd w:val="clear" w:color="auto" w:fill="FFFFFF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>
        <w:rPr>
          <w:rFonts w:eastAsia="Times New Roman" w:cs="Times New Roman"/>
          <w:sz w:val="24"/>
          <w:szCs w:val="28"/>
          <w:lang w:eastAsia="ru-RU"/>
        </w:rPr>
        <w:t>канд</w:t>
      </w:r>
      <w:proofErr w:type="gramStart"/>
      <w:r>
        <w:rPr>
          <w:rFonts w:eastAsia="Times New Roman" w:cs="Times New Roman"/>
          <w:sz w:val="24"/>
          <w:szCs w:val="28"/>
          <w:lang w:eastAsia="ru-RU"/>
        </w:rPr>
        <w:t>.п</w:t>
      </w:r>
      <w:proofErr w:type="gramEnd"/>
      <w:r>
        <w:rPr>
          <w:rFonts w:eastAsia="Times New Roman" w:cs="Times New Roman"/>
          <w:sz w:val="24"/>
          <w:szCs w:val="28"/>
          <w:lang w:eastAsia="ru-RU"/>
        </w:rPr>
        <w:t>ед.наук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>, доцент</w:t>
      </w:r>
    </w:p>
    <w:p w:rsidR="00675548" w:rsidRDefault="00675548" w:rsidP="00675548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675548" w:rsidRDefault="00675548" w:rsidP="00675548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>Екатеринбург</w:t>
      </w:r>
    </w:p>
    <w:p w:rsidR="00675548" w:rsidRDefault="00675548" w:rsidP="00675548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>2026</w:t>
      </w:r>
    </w:p>
    <w:p w:rsidR="009A3A2E" w:rsidRDefault="00386EBD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</w:t>
      </w:r>
    </w:p>
    <w:p w:rsidR="009A3A2E" w:rsidRDefault="00386EBD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Пояснительная записка………………………………………………………….</w:t>
      </w:r>
      <w:r w:rsidR="00675548">
        <w:rPr>
          <w:rFonts w:ascii="XO Thames" w:eastAsia="Times New Roman" w:hAnsi="XO Thames" w:cs="Segoe UI"/>
          <w:color w:val="0F1115"/>
          <w:szCs w:val="28"/>
          <w:lang w:eastAsia="ru-RU"/>
        </w:rPr>
        <w:t>3</w:t>
      </w:r>
    </w:p>
    <w:p w:rsidR="009A3A2E" w:rsidRDefault="00386EBD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Планируемые результаты освоения курса …………………………………….</w:t>
      </w:r>
      <w:r w:rsidR="00675548">
        <w:rPr>
          <w:rFonts w:ascii="XO Thames" w:eastAsia="Times New Roman" w:hAnsi="XO Thames" w:cs="Segoe UI"/>
          <w:color w:val="0F1115"/>
          <w:szCs w:val="28"/>
          <w:lang w:eastAsia="ru-RU"/>
        </w:rPr>
        <w:t>4</w:t>
      </w:r>
    </w:p>
    <w:p w:rsidR="009A3A2E" w:rsidRDefault="00386EBD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Содержание курса внеурочной деятельности …………………………………</w:t>
      </w:r>
      <w:r w:rsidR="00540A83">
        <w:rPr>
          <w:rFonts w:ascii="XO Thames" w:eastAsia="Times New Roman" w:hAnsi="XO Thames" w:cs="Segoe UI"/>
          <w:color w:val="0F1115"/>
          <w:szCs w:val="28"/>
          <w:lang w:eastAsia="ru-RU"/>
        </w:rPr>
        <w:t>6</w:t>
      </w:r>
    </w:p>
    <w:p w:rsidR="009A3A2E" w:rsidRDefault="00386EBD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Тематическое планирование…………………………………………………….</w:t>
      </w:r>
      <w:r w:rsidR="00540A83">
        <w:rPr>
          <w:rFonts w:ascii="XO Thames" w:eastAsia="Times New Roman" w:hAnsi="XO Thames" w:cs="Segoe UI"/>
          <w:color w:val="0F1115"/>
          <w:szCs w:val="28"/>
          <w:lang w:eastAsia="ru-RU"/>
        </w:rPr>
        <w:t>7</w:t>
      </w: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3A2E" w:rsidRDefault="00386EBD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Пояснительная записка</w:t>
      </w:r>
    </w:p>
    <w:p w:rsidR="009A3A2E" w:rsidRDefault="00386EBD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Рабочая программа курса внеурочной деятельности (далее — Программа) для 10-11 классов составлена на основе </w:t>
      </w:r>
      <w:r>
        <w:rPr>
          <w:rFonts w:eastAsia="Times New Roman" w:cs="Segoe UI"/>
          <w:color w:val="0F1115"/>
          <w:lang w:eastAsia="ru-RU"/>
        </w:rP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 и федеральной образовательной программе.</w:t>
      </w:r>
    </w:p>
    <w:p w:rsidR="009A3A2E" w:rsidRDefault="00386EBD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Программа является содержательным и методическим ориентиром для составления педагогами рабочих программ и их реализации во внеурочной деятельности.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Предложенные в программе элементы содержания   и алгоритм деятельности обучающихся могут быть конкретизированы (наполнены содержанием, имеющим отношение к истории конкретного муниципалитета) с учетом существующих условий школьной информационно-образовательной среды. </w:t>
      </w:r>
      <w:proofErr w:type="gramEnd"/>
    </w:p>
    <w:p w:rsidR="009A3A2E" w:rsidRDefault="00386EBD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Актуальность  программы</w:t>
      </w:r>
    </w:p>
    <w:p w:rsidR="009A3A2E" w:rsidRDefault="00386EBD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>Программа ориентирована на углубленное изучение военной истории Свердловской области через работу с архивными источниками, подготовку исследовательских работ и участие в научно-практических конференциях. Курс предполагает сотрудничество с Государственным архивом Свердловской области (ГАСО), архивами муниципалитетов, школьными музеями.</w:t>
      </w:r>
    </w:p>
    <w:p w:rsidR="009A3A2E" w:rsidRDefault="00386EBD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  <w:t xml:space="preserve">Цель и задачи курса внеурочной деятельности «Историки-исследователи: архивная эстафета памяти»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ориентированы на формирование у обучающихся компетенций в области научно-исследовательской деятельности при изучении военной истории Свердловской области, подготовка к осознанному выбору профессии, связанной с историей, архивным делом, педагогикой.</w:t>
      </w:r>
    </w:p>
    <w:p w:rsidR="009A3A2E" w:rsidRDefault="00386EBD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Место курса «Историки-исследователи: архивная эстафета памяти»</w:t>
      </w:r>
    </w:p>
    <w:p w:rsidR="009A3A2E" w:rsidRDefault="00386EBD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Программа ориентирована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на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обучающихся 10-11 классов. Курс рассчитан на 34 часа (1 час в неделю). Может быть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реализована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в сетевом формате.</w:t>
      </w:r>
    </w:p>
    <w:p w:rsidR="009A3A2E" w:rsidRDefault="00386EBD">
      <w:pPr>
        <w:shd w:val="clear" w:color="auto" w:fill="FFFFFF"/>
        <w:spacing w:after="0"/>
        <w:jc w:val="center"/>
        <w:outlineLvl w:val="3"/>
      </w:pPr>
      <w:r>
        <w:rPr>
          <w:rFonts w:ascii="XO Thames" w:hAnsi="XO Thames"/>
          <w:b/>
          <w:bCs/>
          <w:szCs w:val="28"/>
        </w:rPr>
        <w:t>Взаимосвязь с федеральной рабочей программой воспитания</w:t>
      </w:r>
      <w:r>
        <w:rPr>
          <w:rFonts w:ascii="XO Thames" w:hAnsi="XO Thames"/>
          <w:szCs w:val="28"/>
        </w:rPr>
        <w:t xml:space="preserve"> </w:t>
      </w:r>
    </w:p>
    <w:p w:rsidR="009A3A2E" w:rsidRDefault="00386EBD">
      <w:pPr>
        <w:shd w:val="clear" w:color="auto" w:fill="FFFFFF"/>
        <w:spacing w:after="0"/>
        <w:jc w:val="both"/>
        <w:outlineLvl w:val="3"/>
      </w:pPr>
      <w:r>
        <w:rPr>
          <w:rFonts w:ascii="XO Thames" w:hAnsi="XO Thames"/>
          <w:szCs w:val="28"/>
        </w:rPr>
        <w:tab/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</w:t>
      </w:r>
      <w:r>
        <w:rPr>
          <w:rFonts w:ascii="XO Thames" w:hAnsi="XO Thames"/>
          <w:szCs w:val="28"/>
        </w:rPr>
        <w:lastRenderedPageBreak/>
        <w:t xml:space="preserve">основных групп образовательных результатов – личностных, </w:t>
      </w:r>
      <w:proofErr w:type="spellStart"/>
      <w:r>
        <w:rPr>
          <w:rFonts w:ascii="XO Thames" w:hAnsi="XO Thames"/>
          <w:szCs w:val="28"/>
        </w:rPr>
        <w:t>метапредметных</w:t>
      </w:r>
      <w:proofErr w:type="spellEnd"/>
      <w:r>
        <w:rPr>
          <w:rFonts w:ascii="XO Thames" w:hAnsi="XO Thames"/>
          <w:szCs w:val="28"/>
        </w:rPr>
        <w:t xml:space="preserve">, предметных,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позволяет обеспечить достижение целевых ориентиров воспитания на уровне среднего общего образования.</w:t>
      </w:r>
    </w:p>
    <w:p w:rsidR="00675548" w:rsidRDefault="00675548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 w:rsidRPr="00675548">
        <w:rPr>
          <w:rFonts w:ascii="XO Thames" w:eastAsia="Times New Roman" w:hAnsi="XO Thames" w:cs="Segoe UI"/>
          <w:b/>
          <w:color w:val="0F1115"/>
          <w:szCs w:val="28"/>
          <w:lang w:eastAsia="ru-RU"/>
        </w:rPr>
        <w:t>Планируемые результаты освоения курса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«Историки-исследователи: архивная эстафета памяти»</w:t>
      </w:r>
    </w:p>
    <w:p w:rsidR="00540A83" w:rsidRPr="00540A83" w:rsidRDefault="00540A83" w:rsidP="00540A83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b/>
          <w:bCs/>
          <w:color w:val="0F1115"/>
          <w:szCs w:val="24"/>
          <w:lang w:eastAsia="ru-RU"/>
        </w:rPr>
        <w:t>Личностные результаты: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540A83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540A83">
        <w:rPr>
          <w:rFonts w:eastAsia="Times New Roman" w:cs="Times New Roman"/>
          <w:color w:val="0F1115"/>
          <w:szCs w:val="24"/>
          <w:lang w:eastAsia="ru-RU"/>
        </w:rPr>
        <w:t xml:space="preserve"> российской гражданской идентичности, па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риотизма, уважения к своему народу, чувства ответственности перед Род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ной, гордости за свой край, свою Родину, прошлое и настоящее многонаци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нального нар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да России;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осознание ценности исторического познания, бережное отнош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ние к истор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ческому и культурному наследию своего края;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готовность к сохранению исторической памяти, противоде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й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ствию попыткам фальсифик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ции истории;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540A83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540A83">
        <w:rPr>
          <w:rFonts w:eastAsia="Times New Roman" w:cs="Times New Roman"/>
          <w:color w:val="0F1115"/>
          <w:szCs w:val="24"/>
          <w:lang w:eastAsia="ru-RU"/>
        </w:rPr>
        <w:t xml:space="preserve"> мировоззрения, соответствующего совреме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ному уровню развития 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торической науки;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уважение к подвигам Героев Отечества, ветеранам войн, труж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никам тыла;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готовность к саморазвитию и самосовершенствованию, мотив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ция к осознанному выбору профессии, в том числе в области истории, архи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ного дела, музееведения, педагогики.</w:t>
      </w:r>
    </w:p>
    <w:p w:rsidR="00540A83" w:rsidRPr="00540A83" w:rsidRDefault="00540A83" w:rsidP="00540A83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540A83">
        <w:rPr>
          <w:rFonts w:eastAsia="Times New Roman" w:cs="Times New Roman"/>
          <w:b/>
          <w:bCs/>
          <w:color w:val="0F1115"/>
          <w:szCs w:val="24"/>
          <w:lang w:eastAsia="ru-RU"/>
        </w:rPr>
        <w:t>Метапредметные</w:t>
      </w:r>
      <w:proofErr w:type="spellEnd"/>
      <w:r w:rsidRPr="00540A83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 результаты: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умение самостоятельно определять цели деятельности и соста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лять планы деятельности; самостоятельно осуществлять, контролировать и корректировать деятельность; использовать все возможные ресурсы для д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стижения п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ставленных целей и реализации планов деятельности; выбирать успешные стратегии в разли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ч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ных ситуациях;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сти, эффективно разр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шать конфликты;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товность к самостоятельному поиску методов решения практических задач, применению различных методов познания;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различных источников (архивные документы, мемуары, п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lastRenderedPageBreak/>
        <w:t>риодическая печать, электронные базы данных), умение ориентироваться в них, критически оценивать и 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терпретировать;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умение использовать средства информационных и коммуникац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онных технологий в решении когнитивных, коммуникативных и организац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онных задач с соблюдением требований эргономики, техники безопасности, гигиены, ресурсосбережения, правовых и этических норм, норм информац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онной бе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з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опасности;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владение навыками познавательной рефлексии как осознания с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вершаемых действий и мыслительных процессов, их результатов и основ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ний, границ своего знания и незнания, новых познавательных задач и средств их дост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жения.</w:t>
      </w:r>
    </w:p>
    <w:p w:rsidR="00540A83" w:rsidRPr="00540A83" w:rsidRDefault="00540A83" w:rsidP="00540A83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b/>
          <w:bCs/>
          <w:color w:val="0F1115"/>
          <w:szCs w:val="24"/>
          <w:lang w:eastAsia="ru-RU"/>
        </w:rPr>
        <w:t>Предметные результаты:</w:t>
      </w:r>
    </w:p>
    <w:p w:rsidR="00540A83" w:rsidRPr="00540A83" w:rsidRDefault="00540A83" w:rsidP="00540A83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 научится: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540A83">
        <w:rPr>
          <w:rFonts w:eastAsia="Times New Roman" w:cs="Times New Roman"/>
          <w:color w:val="0F1115"/>
          <w:szCs w:val="24"/>
          <w:lang w:eastAsia="ru-RU"/>
        </w:rPr>
        <w:t>объяснять значение ключевых понятий: исторический источник, архив, фонд, опись, дело, источниковедение, историография, научный апп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рат, верифик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ция, подлинность;</w:t>
      </w:r>
      <w:proofErr w:type="gramEnd"/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классифицировать исторические источники по типам и видам (письменные, веществе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ные, изобразительные, устные);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характеризовать структуру Государственного архива Свердло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ской области и муниц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пальных архивов;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применять правила работы в читальном зале архива, делать з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просы, раб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тать с описями и делами;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использовать методы критического анализа источников для опр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деления их по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д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линности и достоверности;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выявлять информацию по заданной теме в архивных фондах, электронных базах данных («Память народа», «Мемориал», «Подвиг нар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да»);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анализировать воспоминания, дневники, письма с фронта как 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с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торические исто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ч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ники;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составлять историографический обзор по теме исследования;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формулировать проблему, цель и задачи исследования, опред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лять объект и предмет;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оформлять научный аппарат исследовательской работы (ссылки, сноски, список источн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ков и литературы);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представлять результаты исследования в форме доклада, презе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тации, стендового докл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да.</w:t>
      </w:r>
    </w:p>
    <w:p w:rsidR="00540A83" w:rsidRPr="00540A83" w:rsidRDefault="00540A83" w:rsidP="00540A83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540A83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</w:t>
      </w:r>
      <w:proofErr w:type="gramEnd"/>
      <w:r w:rsidRPr="00540A83">
        <w:rPr>
          <w:rFonts w:eastAsia="Times New Roman" w:cs="Times New Roman"/>
          <w:i/>
          <w:iCs/>
          <w:color w:val="0F1115"/>
          <w:szCs w:val="24"/>
          <w:lang w:eastAsia="ru-RU"/>
        </w:rPr>
        <w:t xml:space="preserve"> получит возможность научиться: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проводить самостоятельное научное исследование с использов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а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нием архивных источн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и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ков;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lastRenderedPageBreak/>
        <w:t>участвовать в работе научно-практических конференций («Наследники победителей», 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б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ластные краеведческие чтения);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взаимодействовать с сотрудниками архивов, музеев, поисковых отрядов при пр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ведении исследований;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использовать современные методы (в том числе ДНК-идентификацию) в поисковой раб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те;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ориентироваться в системе профессионального образования в 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б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ласти истории, архивов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 xml:space="preserve">дения, </w:t>
      </w:r>
      <w:proofErr w:type="spellStart"/>
      <w:r w:rsidRPr="00540A83">
        <w:rPr>
          <w:rFonts w:eastAsia="Times New Roman" w:cs="Times New Roman"/>
          <w:color w:val="0F1115"/>
          <w:szCs w:val="24"/>
          <w:lang w:eastAsia="ru-RU"/>
        </w:rPr>
        <w:t>музеологии</w:t>
      </w:r>
      <w:proofErr w:type="spellEnd"/>
      <w:r w:rsidRPr="00540A83">
        <w:rPr>
          <w:rFonts w:eastAsia="Times New Roman" w:cs="Times New Roman"/>
          <w:color w:val="0F1115"/>
          <w:szCs w:val="24"/>
          <w:lang w:eastAsia="ru-RU"/>
        </w:rPr>
        <w:t>;</w:t>
      </w:r>
    </w:p>
    <w:p w:rsidR="00540A83" w:rsidRPr="00540A83" w:rsidRDefault="00540A83" w:rsidP="00540A8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540A83">
        <w:rPr>
          <w:rFonts w:eastAsia="Times New Roman" w:cs="Times New Roman"/>
          <w:color w:val="0F1115"/>
          <w:szCs w:val="24"/>
          <w:lang w:eastAsia="ru-RU"/>
        </w:rPr>
        <w:t>разрабатывать и проводить экскурсии в школьном музее на осн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о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ве результатов собстве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</w:t>
      </w:r>
      <w:r w:rsidRPr="00540A83">
        <w:rPr>
          <w:rFonts w:eastAsia="Times New Roman" w:cs="Times New Roman"/>
          <w:color w:val="0F1115"/>
          <w:szCs w:val="24"/>
          <w:lang w:eastAsia="ru-RU"/>
        </w:rPr>
        <w:t>ных исследований.</w:t>
      </w:r>
    </w:p>
    <w:p w:rsidR="00675548" w:rsidRDefault="00675548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75548" w:rsidRDefault="00675548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540A83" w:rsidRDefault="00386EBD" w:rsidP="00540A83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Содержание курса  </w:t>
      </w:r>
      <w:r w:rsidR="00540A83"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«Историки-исследователи: архивная эстафета памяти»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1. Методология военно-исторического исследования (4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Источниковедение военной истории. Типы и виды источников. Проблематика исследования, постановка цели и задач. Методы исследования.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2. Работа с региональными архивами (8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Структура ГАСО. Правила работы в читальном зале архива. Архивные описи и дела. Поиск информации по фондам, связанным с эвакуацией, работой заводов, формированием воинских частей. Практикум в архиве (или работа с оцифрованными фондами).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3. История повседневности военного Урала (6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Жизнь тылового города: условия труда и быта рабочих, жизнь эвакуированного населения, карточная система, образование и культура в годы войны. Анализ воспоминаний, дневников, писем с фронта.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4. Судьбы уральцев на фронтах Гражданской войны (4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Специфика региона в годы Гражданской войны: белое движение на Урале, восстания, красный террор. Уральцы в рядах противоборствующих сторон. Изучение документов эпохи.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5. Урал в локальных войнах и конфликтах (4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Анализ воспоминаний воинов-интернационалистов – участников Афганской, Чеченской войн, миротворческих операций. Сравнительный анализ условий службы.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Тема 6. Современные подходы в поисковой работе (4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Использование данных ДНК-идентификации для установления личности погибших. Опыт областных поисковых отрядов. Взаимодействие с поисковыми объединениями.</w:t>
      </w:r>
    </w:p>
    <w:p w:rsidR="009A3A2E" w:rsidRDefault="00386EBD" w:rsidP="00540A83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7. Подготовка и защита исследовательской работы (4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Написание текста, оформление научного аппарата, подготовка презентации. Участие в научно-практических конференциях («Наследники победителей», областные краеведческие чтения).</w:t>
      </w: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Pr="00540A83" w:rsidRDefault="00540A83" w:rsidP="00540A83">
      <w:pPr>
        <w:shd w:val="clear" w:color="auto" w:fill="FFFFFF"/>
        <w:spacing w:before="240" w:after="240"/>
        <w:ind w:firstLine="567"/>
        <w:rPr>
          <w:rFonts w:ascii="XO Thames" w:hAnsi="XO Thames"/>
          <w:b/>
          <w:szCs w:val="28"/>
        </w:rPr>
      </w:pPr>
      <w:r w:rsidRPr="00540A83">
        <w:rPr>
          <w:rFonts w:ascii="XO Thames" w:hAnsi="XO Thames"/>
          <w:b/>
          <w:szCs w:val="28"/>
        </w:rPr>
        <w:t>Тематическое планирование</w:t>
      </w: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3827"/>
      </w:tblGrid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</w:r>
            <w:r w:rsidRPr="001076FF">
              <w:rPr>
                <w:rFonts w:cs="Times New Roman"/>
                <w:sz w:val="24"/>
                <w:szCs w:val="28"/>
              </w:rPr>
              <w:pict>
                <v:rect id="Фигура1" o:spid="_x0000_s1026" style="width:.0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      <w10:wrap type="none"/>
                  <w10:anchorlock/>
                </v:rect>
              </w:pict>
            </w:r>
            <w:r w:rsidRPr="001076FF">
              <w:rPr>
                <w:rFonts w:cs="Times New Roman"/>
                <w:sz w:val="24"/>
                <w:szCs w:val="28"/>
              </w:rPr>
              <w:t>№</w:t>
            </w:r>
          </w:p>
        </w:tc>
        <w:tc>
          <w:tcPr>
            <w:tcW w:w="3543" w:type="dxa"/>
          </w:tcPr>
          <w:p w:rsidR="00C93944" w:rsidRPr="001076FF" w:rsidRDefault="00C93944" w:rsidP="00A42BBF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eastAsia="Times New Roman" w:cs="Times New Roman"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1418" w:type="dxa"/>
          </w:tcPr>
          <w:p w:rsidR="00C93944" w:rsidRPr="001076FF" w:rsidRDefault="00C93944" w:rsidP="00A42BBF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eastAsia="Times New Roman" w:cs="Times New Roman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3827" w:type="dxa"/>
          </w:tcPr>
          <w:p w:rsidR="00C93944" w:rsidRPr="001076FF" w:rsidRDefault="00C93944" w:rsidP="00A42BBF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Основные виды деятельности </w:t>
            </w:r>
            <w:proofErr w:type="gramStart"/>
            <w:r w:rsidRPr="001076FF">
              <w:rPr>
                <w:rFonts w:eastAsia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3543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Раздел 1. Методология военно-исторического исследования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27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Работают с примерами источников (документы, фотографии, письма), определяют их тип и вид.</w:t>
            </w:r>
          </w:p>
          <w:p w:rsidR="002B2865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Знакомятся с методами исследования, применяют элементы критического анализа к предложенным текстам.</w:t>
            </w:r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C93944" w:rsidRPr="001076FF" w:rsidRDefault="002B2865" w:rsidP="002B2865">
            <w:pPr>
              <w:spacing w:line="375" w:lineRule="atLeast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</w:rPr>
              <w:t>Раздел 2. Работа с региональными архивами</w:t>
            </w:r>
          </w:p>
        </w:tc>
        <w:tc>
          <w:tcPr>
            <w:tcW w:w="1418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8</w:t>
            </w:r>
          </w:p>
        </w:tc>
        <w:tc>
          <w:tcPr>
            <w:tcW w:w="3827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Знакомятся с правилами, изучают структуру архивной описи, учатся ориентироваться в ней.</w:t>
            </w:r>
          </w:p>
          <w:p w:rsidR="002B2865" w:rsidRPr="001076FF" w:rsidRDefault="002B2865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Работают с электронными копиями документов (сайт ГАСО, виртуальные выставки), извлекают информацию.</w:t>
            </w:r>
          </w:p>
          <w:p w:rsidR="002B2865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Учатся составлять запросы в архивы, отрабатывают формулировки.</w:t>
            </w:r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Раздел 3. История повседневности военного Урал</w:t>
            </w: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а</w:t>
            </w:r>
          </w:p>
        </w:tc>
        <w:tc>
          <w:tcPr>
            <w:tcW w:w="1418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C93944" w:rsidRPr="001076FF" w:rsidRDefault="002B2865" w:rsidP="002B2865">
            <w:pPr>
              <w:spacing w:line="375" w:lineRule="atLeast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</w:rPr>
              <w:t>Анализируют статистические данные, документы о работе заводов, готовят сообщения о предприятиях.</w:t>
            </w:r>
          </w:p>
          <w:p w:rsidR="002B2865" w:rsidRPr="001076FF" w:rsidRDefault="002B2865" w:rsidP="002B2865">
            <w:pPr>
              <w:spacing w:line="375" w:lineRule="atLeast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Анализируют тексты писем, выявляют бытовые детали, эмоциональное состояние, ценностные установки.</w:t>
            </w:r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543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Раздел 4. Судьбы уральцев на фронтах Гражданской войны </w:t>
            </w:r>
          </w:p>
        </w:tc>
        <w:tc>
          <w:tcPr>
            <w:tcW w:w="1418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27" w:type="dxa"/>
          </w:tcPr>
          <w:p w:rsidR="00C93944" w:rsidRPr="001076FF" w:rsidRDefault="002B2865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Знакомятся с хронологией, картой боевых действий, основными участниками.</w:t>
            </w:r>
          </w:p>
          <w:p w:rsidR="002B2865" w:rsidRPr="001076FF" w:rsidRDefault="002B2865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 xml:space="preserve">Анализируют отдельные </w:t>
            </w: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lastRenderedPageBreak/>
              <w:t>биографии, реконструируют судьбы на основе доступных источников.</w:t>
            </w:r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3543" w:type="dxa"/>
          </w:tcPr>
          <w:p w:rsidR="00C93944" w:rsidRPr="001076FF" w:rsidRDefault="001076FF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Раздел 5. Урал в локальных войнах и конфликтах</w:t>
            </w:r>
          </w:p>
        </w:tc>
        <w:tc>
          <w:tcPr>
            <w:tcW w:w="1418" w:type="dxa"/>
          </w:tcPr>
          <w:p w:rsidR="00C93944" w:rsidRPr="001076FF" w:rsidRDefault="001076FF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1076FF" w:rsidRPr="001076FF" w:rsidRDefault="001076FF" w:rsidP="001076FF">
            <w:pPr>
              <w:spacing w:line="375" w:lineRule="atLeast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</w:rPr>
              <w:t>Изучают Книги Памяти, работают с воспоминаниями воинов-интернационалистов.</w:t>
            </w:r>
          </w:p>
          <w:p w:rsidR="00C93944" w:rsidRPr="001076FF" w:rsidRDefault="001076FF" w:rsidP="001076FF">
            <w:pPr>
              <w:spacing w:line="375" w:lineRule="atLeast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Готовят вопросы, проводят встречу (или анализируют видеозаписи), составляют отчет.</w:t>
            </w:r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6</w:t>
            </w:r>
          </w:p>
        </w:tc>
        <w:tc>
          <w:tcPr>
            <w:tcW w:w="3543" w:type="dxa"/>
          </w:tcPr>
          <w:p w:rsidR="00C93944" w:rsidRPr="001076FF" w:rsidRDefault="001076FF" w:rsidP="00A42BBF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 xml:space="preserve">Раздел 6. Современные подходы в </w:t>
            </w:r>
            <w:proofErr w:type="gramStart"/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поисковой</w:t>
            </w:r>
            <w:proofErr w:type="gramEnd"/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 xml:space="preserve"> работ</w:t>
            </w:r>
          </w:p>
        </w:tc>
        <w:tc>
          <w:tcPr>
            <w:tcW w:w="1418" w:type="dxa"/>
          </w:tcPr>
          <w:p w:rsidR="00C93944" w:rsidRPr="001076FF" w:rsidRDefault="001076FF" w:rsidP="00A42BBF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076FF">
              <w:rPr>
                <w:rFonts w:eastAsia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C93944" w:rsidRPr="001076FF" w:rsidRDefault="001076FF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Знакомятся с деятельностью поисковых отрядов региона, их достижениями.</w:t>
            </w:r>
          </w:p>
          <w:p w:rsidR="001076FF" w:rsidRPr="001076FF" w:rsidRDefault="001076FF" w:rsidP="00A42BBF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Знакомятся с акциями «Вахта Памяти», «Судьба солдата», планируют возможное участие.</w:t>
            </w:r>
          </w:p>
        </w:tc>
      </w:tr>
      <w:tr w:rsidR="00C93944" w:rsidRPr="001076FF" w:rsidTr="00A42BBF">
        <w:tc>
          <w:tcPr>
            <w:tcW w:w="534" w:type="dxa"/>
          </w:tcPr>
          <w:p w:rsidR="00C93944" w:rsidRPr="001076FF" w:rsidRDefault="00C93944" w:rsidP="00A42BBF">
            <w:pPr>
              <w:spacing w:after="0" w:line="240" w:lineRule="auto"/>
              <w:rPr>
                <w:rFonts w:cs="Times New Roman"/>
                <w:sz w:val="24"/>
                <w:szCs w:val="28"/>
              </w:rPr>
            </w:pPr>
            <w:r w:rsidRPr="001076FF">
              <w:rPr>
                <w:rFonts w:cs="Times New Roman"/>
                <w:sz w:val="24"/>
                <w:szCs w:val="28"/>
              </w:rPr>
              <w:t>7</w:t>
            </w:r>
          </w:p>
        </w:tc>
        <w:tc>
          <w:tcPr>
            <w:tcW w:w="3543" w:type="dxa"/>
          </w:tcPr>
          <w:p w:rsidR="00C93944" w:rsidRPr="001076FF" w:rsidRDefault="001076FF" w:rsidP="00A42BB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</w:rPr>
            </w:pPr>
            <w:r w:rsidRPr="001076FF">
              <w:rPr>
                <w:rStyle w:val="a3"/>
                <w:rFonts w:cs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Раздел 7. Подготовка и защита исследовательской работы</w:t>
            </w:r>
          </w:p>
        </w:tc>
        <w:tc>
          <w:tcPr>
            <w:tcW w:w="1418" w:type="dxa"/>
          </w:tcPr>
          <w:p w:rsidR="00C93944" w:rsidRPr="001076FF" w:rsidRDefault="001076FF" w:rsidP="00A42BBF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1076FF">
              <w:rPr>
                <w:rFonts w:eastAsia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1076FF" w:rsidRPr="001076FF" w:rsidRDefault="001076FF" w:rsidP="001076FF">
            <w:pPr>
              <w:spacing w:after="0" w:line="240" w:lineRule="auto"/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</w:pPr>
            <w:r w:rsidRPr="001076FF">
              <w:rPr>
                <w:rFonts w:cs="Times New Roman"/>
                <w:color w:val="0F1115"/>
                <w:sz w:val="24"/>
                <w:szCs w:val="28"/>
                <w:shd w:val="clear" w:color="auto" w:fill="FFFFFF"/>
              </w:rPr>
              <w:t>Знакомятся с требованиями к оформлению, учатся оформлять сноски, список литературы.</w:t>
            </w:r>
            <w:r w:rsidRPr="001076FF">
              <w:rPr>
                <w:rFonts w:cs="Times New Roman"/>
                <w:color w:val="0F1115"/>
                <w:sz w:val="24"/>
                <w:szCs w:val="28"/>
              </w:rPr>
              <w:br/>
              <w:t>Представляют готовые исследовательские работы, участвуют в обсуждении.</w:t>
            </w:r>
          </w:p>
        </w:tc>
      </w:tr>
    </w:tbl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p w:rsidR="009A3A2E" w:rsidRDefault="009A3A2E">
      <w:pPr>
        <w:shd w:val="clear" w:color="auto" w:fill="FFFFFF"/>
        <w:spacing w:before="240" w:after="240"/>
        <w:rPr>
          <w:rFonts w:ascii="XO Thames" w:hAnsi="XO Thames"/>
          <w:szCs w:val="28"/>
        </w:rPr>
      </w:pPr>
    </w:p>
    <w:sectPr w:rsidR="009A3A2E" w:rsidSect="00675548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84" w:rsidRDefault="00882A84" w:rsidP="00675548">
      <w:pPr>
        <w:spacing w:after="0" w:line="240" w:lineRule="auto"/>
      </w:pPr>
      <w:r>
        <w:separator/>
      </w:r>
    </w:p>
  </w:endnote>
  <w:endnote w:type="continuationSeparator" w:id="0">
    <w:p w:rsidR="00882A84" w:rsidRDefault="00882A84" w:rsidP="0067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450795"/>
      <w:docPartObj>
        <w:docPartGallery w:val="Page Numbers (Bottom of Page)"/>
        <w:docPartUnique/>
      </w:docPartObj>
    </w:sdtPr>
    <w:sdtEndPr/>
    <w:sdtContent>
      <w:p w:rsidR="00675548" w:rsidRDefault="006755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6FF">
          <w:rPr>
            <w:noProof/>
          </w:rPr>
          <w:t>2</w:t>
        </w:r>
        <w:r>
          <w:fldChar w:fldCharType="end"/>
        </w:r>
      </w:p>
    </w:sdtContent>
  </w:sdt>
  <w:p w:rsidR="00675548" w:rsidRDefault="006755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84" w:rsidRDefault="00882A84" w:rsidP="00675548">
      <w:pPr>
        <w:spacing w:after="0" w:line="240" w:lineRule="auto"/>
      </w:pPr>
      <w:r>
        <w:separator/>
      </w:r>
    </w:p>
  </w:footnote>
  <w:footnote w:type="continuationSeparator" w:id="0">
    <w:p w:rsidR="00882A84" w:rsidRDefault="00882A84" w:rsidP="0067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2FEE"/>
    <w:multiLevelType w:val="multilevel"/>
    <w:tmpl w:val="010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04020"/>
    <w:multiLevelType w:val="multilevel"/>
    <w:tmpl w:val="747A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107E3"/>
    <w:multiLevelType w:val="multilevel"/>
    <w:tmpl w:val="807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85EAD"/>
    <w:multiLevelType w:val="multilevel"/>
    <w:tmpl w:val="DD84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2402B"/>
    <w:multiLevelType w:val="hybridMultilevel"/>
    <w:tmpl w:val="D5329C58"/>
    <w:lvl w:ilvl="0" w:tplc="30C41A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2E"/>
    <w:rsid w:val="001076FF"/>
    <w:rsid w:val="002B2865"/>
    <w:rsid w:val="00386EBD"/>
    <w:rsid w:val="00540A83"/>
    <w:rsid w:val="00675548"/>
    <w:rsid w:val="00882A84"/>
    <w:rsid w:val="009A3A2E"/>
    <w:rsid w:val="00C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A0DFC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DFC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DFC"/>
    <w:pPr>
      <w:spacing w:beforeAutospacing="1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A0DF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A0DF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A0DFC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0DFC"/>
    <w:rPr>
      <w:b/>
      <w:bCs/>
    </w:rPr>
  </w:style>
  <w:style w:type="character" w:styleId="a4">
    <w:name w:val="Emphasis"/>
    <w:basedOn w:val="a0"/>
    <w:uiPriority w:val="20"/>
    <w:qFormat/>
    <w:rsid w:val="008A0DFC"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Unifont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Unifont"/>
    </w:rPr>
  </w:style>
  <w:style w:type="paragraph" w:customStyle="1" w:styleId="ds-markdown-paragraph">
    <w:name w:val="ds-markdown-paragraph"/>
    <w:basedOn w:val="a"/>
    <w:qFormat/>
    <w:rsid w:val="008A0DF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rsid w:val="0067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5548"/>
  </w:style>
  <w:style w:type="paragraph" w:styleId="ae">
    <w:name w:val="footer"/>
    <w:basedOn w:val="a"/>
    <w:link w:val="af"/>
    <w:uiPriority w:val="99"/>
    <w:unhideWhenUsed/>
    <w:rsid w:val="0067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5548"/>
  </w:style>
  <w:style w:type="paragraph" w:styleId="af0">
    <w:name w:val="List Paragraph"/>
    <w:basedOn w:val="a"/>
    <w:uiPriority w:val="34"/>
    <w:qFormat/>
    <w:rsid w:val="00540A83"/>
    <w:pPr>
      <w:ind w:left="720"/>
      <w:contextualSpacing/>
    </w:pPr>
  </w:style>
  <w:style w:type="table" w:styleId="af1">
    <w:name w:val="Table Grid"/>
    <w:basedOn w:val="a1"/>
    <w:uiPriority w:val="59"/>
    <w:rsid w:val="00C9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1592</Words>
  <Characters>9079</Characters>
  <Application>Microsoft Office Word</Application>
  <DocSecurity>0</DocSecurity>
  <Lines>75</Lines>
  <Paragraphs>21</Paragraphs>
  <ScaleCrop>false</ScaleCrop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Ботышева</dc:creator>
  <dc:description/>
  <cp:lastModifiedBy>Екатерина</cp:lastModifiedBy>
  <cp:revision>17</cp:revision>
  <dcterms:created xsi:type="dcterms:W3CDTF">2026-03-05T06:45:00Z</dcterms:created>
  <dcterms:modified xsi:type="dcterms:W3CDTF">2026-03-11T09:50:00Z</dcterms:modified>
  <dc:language>ru-RU</dc:language>
</cp:coreProperties>
</file>